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8F2" w:rsidRDefault="008D48F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"/>
        <w:gridCol w:w="10369"/>
        <w:gridCol w:w="220"/>
        <w:gridCol w:w="253"/>
      </w:tblGrid>
      <w:tr w:rsidR="008D48F2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AB5D97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8D48F2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D48F2" w:rsidRDefault="00AB5D97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D48F2" w:rsidRDefault="008D48F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48F2" w:rsidRDefault="008D48F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8F2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AB5D97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AB5D97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48F2" w:rsidRDefault="008D48F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48F2" w:rsidRDefault="008D48F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8F2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AB5D97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48F2" w:rsidRDefault="008D48F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48F2" w:rsidRDefault="008D48F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48F2" w:rsidRDefault="00AB5D97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D48F2" w:rsidRDefault="008D48F2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8D48F2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48F2" w:rsidRDefault="00AB5D97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D48F2" w:rsidRDefault="00AB5D97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8D48F2" w:rsidRDefault="008D48F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AB5D9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8D48F2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48F2" w:rsidRDefault="008D48F2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48F2" w:rsidRDefault="008D48F2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48F2" w:rsidRDefault="00AB5D97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8D48F2" w:rsidRDefault="008D48F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8F2" w:rsidRDefault="008D48F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Инорм - количество информации, размещение которой на общедоступных информационных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ресурсах установлено законодательными и иными нормативными правовыми актами Российской Федерации (сайт)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ктами Российской Федерации (стенд)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ателями услуг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социальной сферы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пностью информации, размещенной на официальном сайте организации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оциальной сферы комфортных условий предоставления услуг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доставления услуг организацией социальной сферы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ганизации для инвалидов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наравне с другими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 - число получателей услуг-инвалидов, удовлетворенных доступностью услуг для инвалидов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феры, обеспечивающих непосредственное оказание услуги при обращении в организацию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отников организации при использовании дистанционных форм взаимодействия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екомендовать организацию родственникам и знакомым (могли бы ее рекомендовать, если бы была возможность выбора организации)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уг, удовлетворенных организационными условиями предоставления услуг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 в организации социальной сферы</w:t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D48F2" w:rsidRDefault="00AB5D97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8D48F2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  <w:sz w:val="24"/>
          <w:szCs w:val="24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</w:t>
      </w:r>
      <w:r>
        <w:rPr>
          <w:rFonts w:ascii="Times New Roman" w:eastAsia="Times New Roman" w:hAnsi="Times New Roman" w:cs="Times New Roman"/>
          <w:sz w:val="24"/>
          <w:szCs w:val="24"/>
        </w:rPr>
        <w:t>зированной информации рассчитан Sn - итоговый показатель оценки качества организации.</w:t>
      </w:r>
    </w:p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8D48F2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D48F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8D48F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48F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8F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8F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8F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8D48F2" w:rsidRDefault="008D48F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</w:t>
      </w:r>
      <w:r>
        <w:rPr>
          <w:rFonts w:ascii="Times New Roman" w:eastAsia="Times New Roman" w:hAnsi="Times New Roman" w:cs="Times New Roman"/>
          <w:sz w:val="24"/>
          <w:szCs w:val="24"/>
        </w:rPr>
        <w:t>й критерий оценки качества «Удовлетворенность условиями оказания услуг»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творенность. </w:t>
      </w:r>
    </w:p>
    <w:p w:rsidR="008D48F2" w:rsidRDefault="008D48F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D48F2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8D48F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8D48F2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8D48F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8D48F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D48F2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D48F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D48F2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48F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48F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48F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87,08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84,38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84,50</w:t>
            </w:r>
          </w:p>
        </w:tc>
      </w:tr>
      <w:tr w:rsidR="008D48F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90,88</w:t>
            </w:r>
          </w:p>
        </w:tc>
      </w:tr>
      <w:tr w:rsidR="008D48F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75,32</w:t>
            </w:r>
          </w:p>
        </w:tc>
      </w:tr>
      <w:tr w:rsidR="008D48F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15,56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D48F2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№1 "Чебурашка"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№9 "Теремок"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 12 "Брусничка"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15 "Ручеек"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№17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24 "Красная Шапочка"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25 "Зайчик"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32 "Айболит"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"СОШ №2"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"СОШ № 5"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"СОШ № 7 имени Пичуева Л.П."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"СОШ № 13 им. М.К.Янгеля"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D48F2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"Городская Гимназия № 1"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8D48F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8D48F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8D48F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8D48F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8D48F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:rsidR="008D48F2" w:rsidRDefault="008D48F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инвалидам получать услуги наравне с другими.*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</w:t>
      </w:r>
      <w:r>
        <w:rPr>
          <w:rFonts w:ascii="Times New Roman" w:eastAsia="Times New Roman" w:hAnsi="Times New Roman" w:cs="Times New Roman"/>
          <w:sz w:val="24"/>
          <w:szCs w:val="24"/>
        </w:rPr>
        <w:t>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8D48F2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МБДОУ №9 "Теремок"; МБДОУ № 12 "Брусничка"; МБДОУ Д/с № 15 "Ручеек";</w:t>
            </w:r>
          </w:p>
        </w:tc>
      </w:tr>
      <w:tr w:rsidR="008D48F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МБДОУ №9 "Теремок"; МБДОУ № 12 "Брусничка"; МБДОУ Д/с № 15 "Ручеек"; МБДОУ Д/с № 24 "Красная Шапочка"; МАОУ "СОШ № 5"; МАОУ "СОШ № 7 имени Пичуева Л.П."; МАОУ "СОШ № 13 им. М.К.Янгеля";</w:t>
            </w:r>
          </w:p>
        </w:tc>
      </w:tr>
      <w:tr w:rsidR="008D48F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МБДОУ Д/с №1 "Чебурашка"; МАОУ "СОШ № 5"; МАОУ "СОШ № 7 имени Пичуева Л.П."; МАОУ "СОШ № 13 им. М.К.Янгеля"; МАОУ "Городская Гимназия № 1";</w:t>
            </w:r>
          </w:p>
        </w:tc>
      </w:tr>
      <w:tr w:rsidR="008D48F2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МБДОУ Д/с № 15 "Ручеек"; МБДОУ Детский Сад №17; МБДОУ Д/с № 25 "Зайчик"; МБДОУ Д/с № 32 "Айболит";</w:t>
            </w:r>
          </w:p>
        </w:tc>
      </w:tr>
      <w:tr w:rsidR="008D48F2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МБДОУ Д/с №1 "Ч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ебурашка"; МБДОУ Детский Сад №17; МБДОУ Д/с № 24 "Красная Шапочка"; МБДОУ Д/с № 25 "Зайчик"; МБДОУ Д/с № 32 "Айболит"; МБОУ "СОШ №2"; МАОУ "СОШ № 5"; МАОУ "СОШ № 7 имени Пичуева Л.П."; МАОУ "СОШ № 13 им. М.К.Янгеля"; МАОУ "Городская Гимназия № 1";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8D48F2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МБДОУ №9 "Теремок"; МБДОУ № 12 "Брусничка"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МБДОУ Д/с № 15 "Ручеек"; МБОУ "СОШ №2"; МАОУ "Городская Гимназия № 1";</w:t>
            </w:r>
          </w:p>
        </w:tc>
      </w:tr>
      <w:tr w:rsidR="008D48F2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8D48F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"СОШ №2";</w:t>
            </w:r>
          </w:p>
        </w:tc>
      </w:tr>
      <w:tr w:rsidR="008D48F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8D48F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МАОУ "СОШ № 5"; МАОУ "СОШ № 7 имени Пичуева Л.П."; МАОУ "СОШ № 13 им. М.К.Янге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ля";</w:t>
            </w:r>
          </w:p>
        </w:tc>
      </w:tr>
      <w:tr w:rsidR="008D48F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МБДОУ Детский Сад №17; МБДОУ Д/с № 24 "Красная Шапочка"; МБДОУ Д/с № 25 "Зайчик";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САЙТОВ УСТАНОВЛЕННЫМ ТРЕБОВАНИЯМ В ЧАСТИ РАЗМЕЩЕНИЯ ОБЯЗАТЕЛЬНОЙ ИНФОРМАЦИИ*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-60" w:type="dxa"/>
        <w:tblLayout w:type="fixed"/>
        <w:tblLook w:val="0600"/>
      </w:tblPr>
      <w:tblGrid>
        <w:gridCol w:w="10755"/>
      </w:tblGrid>
      <w:tr w:rsidR="008D48F2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 Требования к структуре официального сайта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от 14 августа 2020 года N 831 "Об утверждении Требований к структуре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5"/>
        <w:gridCol w:w="3510"/>
      </w:tblGrid>
      <w:tr w:rsidR="008D48F2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(при наличии) наименование образовательной организации. Информация о дате создания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финансово-хозяйственной деятельности образовательной организации или бюджетные сметы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0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5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2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образовательных программах: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0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4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0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организации (при их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4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9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4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проживание в общежитии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3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порядке оказания платных образовательных услуг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7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37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1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для использования инвалидами и лицами с ОВЗ: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11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8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питания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 размещена</w:t>
            </w:r>
          </w:p>
        </w:tc>
      </w:tr>
      <w:tr w:rsidR="008D48F2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охраны здоровья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специальных технических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обучения коллективного и индивидуального пользования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условий для беспрепятственного доступа в общежитие, интернат, о количестве жилых помещений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общежитии, интернате, приспособленных для использования инвалидами и лицами с ОВЗ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и планируемые к заключению договоры с иностранными и (или) международными организациями по вопросам образования и науки 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D48F2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аккредитация образовательных программ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адрес электронной поч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</w:t>
      </w:r>
      <w:r>
        <w:rPr>
          <w:rFonts w:ascii="Times New Roman" w:eastAsia="Times New Roman" w:hAnsi="Times New Roman" w:cs="Times New Roman"/>
          <w:sz w:val="24"/>
          <w:szCs w:val="24"/>
        </w:rPr>
        <w:t>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</w:t>
      </w:r>
      <w:r>
        <w:rPr>
          <w:rFonts w:ascii="Times New Roman" w:eastAsia="Times New Roman" w:hAnsi="Times New Roman" w:cs="Times New Roman"/>
          <w:sz w:val="24"/>
          <w:szCs w:val="24"/>
        </w:rPr>
        <w:t>щению на стенде информации: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40"/>
      </w:tblGrid>
      <w:tr w:rsidR="008D48F2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месте нахождения образовательной организации и ее филиалов (при наличии)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режиме, графике работы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контактных телефонах и об адресах электронной почты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структуре и об орга</w:t>
            </w:r>
            <w:r>
              <w:rPr>
                <w:rFonts w:ascii="Times New Roman" w:eastAsia="Times New Roman" w:hAnsi="Times New Roman" w:cs="Times New Roman"/>
              </w:rPr>
              <w:t>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</w:t>
            </w:r>
            <w:r>
              <w:rPr>
                <w:rFonts w:ascii="Times New Roman" w:eastAsia="Times New Roman" w:hAnsi="Times New Roman" w:cs="Times New Roman"/>
              </w:rPr>
              <w:t>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Лицензии на осуществление образовательной деятельности (с приложениями)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Свидетельства о государственной аккредитации (</w:t>
            </w:r>
            <w:r>
              <w:rPr>
                <w:rFonts w:ascii="Times New Roman" w:eastAsia="Times New Roman" w:hAnsi="Times New Roman" w:cs="Times New Roman"/>
              </w:rPr>
              <w:t>с приложениями)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</w:t>
            </w:r>
            <w:r>
              <w:rPr>
                <w:rFonts w:ascii="Times New Roman" w:eastAsia="Times New Roman" w:hAnsi="Times New Roman" w:cs="Times New Roman"/>
              </w:rPr>
              <w:t xml:space="preserve">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</w:t>
            </w:r>
            <w:r>
              <w:rPr>
                <w:rFonts w:ascii="Times New Roman" w:eastAsia="Times New Roman" w:hAnsi="Times New Roman" w:cs="Times New Roman"/>
              </w:rPr>
              <w:t xml:space="preserve"> родителями (законными представителями) несовершеннолетних обучающихся.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Правила внутреннего распорядка обучающихся, правила внутреннего трудового распорядка и коллективный договор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Документ о порядке оказания платных образовательных услуг (при наличии),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об учебных планах реализуемых образовательных программ с приложением их копий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руководителе образовательной организации, его заместителях, руководителях филиалов образовательно</w:t>
            </w:r>
            <w:r>
              <w:rPr>
                <w:rFonts w:ascii="Times New Roman" w:eastAsia="Times New Roman" w:hAnsi="Times New Roman" w:cs="Times New Roman"/>
              </w:rPr>
              <w:t>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условиях питания обучающихся, в том чис</w:t>
            </w:r>
            <w:r>
              <w:rPr>
                <w:rFonts w:ascii="Times New Roman" w:eastAsia="Times New Roman" w:hAnsi="Times New Roman" w:cs="Times New Roman"/>
              </w:rPr>
              <w:t>ле инвалидов и лиц с ограниченными возможностями здоровья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условиях предоставления обучающимся стипендий, мер социальной поддержки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порядке оказания платных образовательных услуг (при наличии)*</w:t>
            </w:r>
          </w:p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</w:t>
            </w:r>
            <w:r>
              <w:rPr>
                <w:rFonts w:ascii="Times New Roman" w:eastAsia="Times New Roman" w:hAnsi="Times New Roman" w:cs="Times New Roman"/>
              </w:rPr>
              <w:t xml:space="preserve">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</w:t>
            </w:r>
            <w:r>
              <w:rPr>
                <w:rFonts w:ascii="Times New Roman" w:eastAsia="Times New Roman" w:hAnsi="Times New Roman" w:cs="Times New Roman"/>
              </w:rPr>
              <w:t>стных бюджетов, по договорам об образовании за счет средств физических и (или) юридических лиц)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ЕЛЕЙ УСЛУГ*</w:t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8D48F2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  <w:tr w:rsidR="008D48F2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1606</w:t>
            </w:r>
          </w:p>
        </w:tc>
      </w:tr>
      <w:tr w:rsidR="008D48F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1623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8D48F2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66,23%</w:t>
            </w:r>
          </w:p>
        </w:tc>
      </w:tr>
      <w:tr w:rsidR="008D48F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67,16%</w:t>
            </w:r>
          </w:p>
        </w:tc>
      </w:tr>
      <w:tr w:rsidR="008D48F2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75,00%</w:t>
            </w:r>
          </w:p>
        </w:tc>
      </w:tr>
      <w:tr w:rsidR="008D48F2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89,23%</w:t>
            </w:r>
          </w:p>
        </w:tc>
      </w:tr>
      <w:tr w:rsidR="008D48F2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89,18%</w:t>
            </w:r>
          </w:p>
        </w:tc>
      </w:tr>
      <w:tr w:rsidR="008D48F2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73,68%</w:t>
            </w:r>
          </w:p>
        </w:tc>
      </w:tr>
      <w:tr w:rsidR="008D48F2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86,08%</w:t>
            </w:r>
          </w:p>
        </w:tc>
      </w:tr>
      <w:tr w:rsidR="008D48F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87,33%</w:t>
            </w:r>
          </w:p>
        </w:tc>
      </w:tr>
      <w:tr w:rsidR="008D48F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88,25%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D48F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- 13. Среднее значение - 84,5. Максимальное значение (в баллах) - 90,88. Минимальное значение - 75,32.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45"/>
        <w:gridCol w:w="7995"/>
        <w:gridCol w:w="1065"/>
      </w:tblGrid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 13 им. М.К.Янгеля"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90,88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"Городская Гимназия № 1"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90,00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№9 "</w:t>
            </w:r>
            <w:r>
              <w:rPr>
                <w:rFonts w:ascii="Times New Roman" w:eastAsia="Times New Roman" w:hAnsi="Times New Roman" w:cs="Times New Roman"/>
              </w:rPr>
              <w:t>Теремок"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24 "Красная Шапочка"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87,28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32 "Айболит"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86,60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"СОШ № 5"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86,22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 12 "Брусничка"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85,64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№1 "Чебурашка"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25 "Зайчик"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84,50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Д/с № 15 "Ручеек"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81,18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"СОШ № 7 имени Пичуева Л.П."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81,14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"СОШ №2"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77,10</w:t>
            </w:r>
          </w:p>
        </w:tc>
      </w:tr>
      <w:tr w:rsidR="008D48F2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75,32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D48F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- 13. Среднее значение - 84,5. Максимальное значение (в баллах) - 90,88. Минимальное значение - 75,32.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D48F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зрительной информации; возможность предоставления инвалидам по слуху (слуху и зрению) услуг сурдопереводчика (тифлосурдопереводчика); возможность предоставления услуг в дистанционном режиме или на дому; дублирование для инвалидов по слуху и зрению звуковой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зрительной информации;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D48F2" w:rsidRDefault="008D48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Организациям в индивидуальном порядке разработать и 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ии следующих показателей независимой оценки качества условий оказания услуг:</w:t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8D48F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доступности для инвалидов: наличие адаптированных лифтов, поручней, расширенных дверных проемов;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наравне с другими: дублирование для инвалидов по слуху и зрению звуковой и зрительной информации;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зрению) услуг сурдопереводчика (тифлосурдопереводчика);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Д/с №1 "Чебурашка"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- 85,22; Численность обучающихся - 160; Чобщ - 91; Доля респондентов - 0,57; К1 - 90,4; Пинф - 100; Инорм - 55; Инорм - 16; Истенд - 16; Исайт - 55; Пдист - 100; Тдист - 30; Сдист - 4; Поткруд - 76; Устенд - 71; - 68;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К2 - 87,5; Пкомф.усл - 100; Ткомф - 20; Скомф - 5; Укомф - 68; Пкомфуд - 75; К3 - 78,1; Поргдост - 60; Торгдост - 20; Соргдост - 3; Пуслугдост - 100; Туслугдост - 20; Суслугдост - 6; Пдостуд - 67; Чинв - 3; Удост - 2; К4 - 83,6; Пперв.конт уд - 88;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- 80; Показ.услугуд - 88; Уоказ.услуг - 80; Пвежл.дистуд - 66; Увежл.дист - 60; К5 - 86,5; Преком - 86; Уреком - 78; Уорг.усл - 78; Порг.услуд - 86; Ууд - 79; Пуд - 87; Ууд - 79; Пуд - 87.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здоровья: - да; 50.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№9 "Теремок"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- 87,38; Численность обучающихся - 166; Чобщ - 126; Доля респондентов - 0,76; К1 - 94,8; Пинф - 100; Инорм - 55; Инорм - 16; Истенд - 16; Исайт - 55; Пдист - 100; Тдист - 30; Сдист - 4; Поткруд - 87; Устенд - 111; - 10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8; К2 - 92,5; Пкомф.усл - 100; Ткомф - 20; Скомф - 5; Укомф - 107; Пкомфуд - 85; К3 - 78,1; Поргдост - 60; Торгдост - 20; Соргдост - 3; Пуслугдост - 100; Туслугдост - 20; Суслугдост - 5; Пдостуд - 67; Чинв - 6; Удост - 4; К4 - 84,8; Пперв.конт уд - 88;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- 111; Показ.услугуд - 88; Уоказ.услуг - 111; Пвежл.дистуд - 72; Увежл.дист - 91; К5 - 86,7; Преком - 85; Уреком - 107; Уорг.усл - 109; Порг.услуд - 86; Ууд - 111; Пуд - 88; Ууд - 111; Пуд - 88.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№ 12 "Брусничка"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- 85,64; Численность обучающихся - 81; Чобщ - 111; Доля респондентов - 1,37; К1 - 85,2; Пинф - 100; Инорм - 55; Инорм - 16; Истенд - 16; Исайт - 55; Пдис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- 100; Тдист - 30; Сдист - 4; Поткруд - 63; Устенд - 71; - 70; К2 - 83,5; Пкомф.усл - 100; Ткомф - 20; Скомф - 5; Укомф - 74; Пкомфуд - 67; К3 - 82,9; Поргдост - 60; Торгдост - 20; Соргдост - 3; Пуслугдост - 100; Туслугдост - 20; Суслугдост - 5; Пдостуд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- 83; Чинв - 5; Удост - 6; К4 - 87,6; Пперв.конт уд - 89; Уперв.конт - 99; Показ.услугуд - 89; Уоказ.услуг - 99; Пвежл.дистуд - 82; Увежл.дист - 91; К5 - 89; Преком - 89; Уреком - 99; Уорг.усл - 99; Порг.услуд - 89; Ууд - 99; Пуд - 89; Ууд - 99; Пуд - 89.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Д/с № 15 "Ручеек"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- 81,18; Численность обучающихся - 103; Чобщ - 78; Доля респондентов - 0,76; К1 - 88,8; Пинф - 100; Инорм - 55; Инорм - 16; Истенд - 16; Исайт - 55; Пди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 - 100; Тдист - 30; Сдист - 4; Поткруд - 72; Устенд - 58; - 55; К2 - 86; Пкомф.усл - 100; Ткомф - 20; Скомф - 5; Укомф - 56; Пкомфуд - 72; К3 - 72,1; Поргдост - 40; Торгдост - 20; Соргдост - 2; Пуслугдост - 100; Туслугдост - 20; Суслугдост - 5; Пдостуд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67; Чинв - 2; Удост - 3; К4 - 79,4; Пперв.конт уд - 81; Уперв.конт - 63; Показ.услугуд - 79; Уоказ.услуг - 62; Пвежл.дистуд - 77; Увежл.дист - 60; К5 - 79,6; Преком - 79; Уреком - 62; Уорг.усл - 64; Порг.услуд - 82; Ууд - 62; Пуд - 79; Ууд - 62; Пуд - 79.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ПРИМЕЧАНИЕ: Информация в данном разделе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носит рекомендательный характер. Рекомендации вносятся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Детский Сад №17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- 75,32; Численность обучающихся - 104; Чобщ - 47; Доля респондентов - 0,45; К1 - 66,4; Пинф - 100; Инорм - 55; Инорм - 16; Истенд - 16; Исайт - 55; Пдист - 100; Тдист - 30; Сдист - 4; Поткруд - 16; Устенд - 7; - 8;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- 58,5; Пкомф.усл - 100; Ткомф - 20; Скомф - 5; Укомф - 8; Пкомфуд - 17; К3 - 78,1; Поргдост - 60; Торгдост - 20; Соргдост - 3; Пуслугдост - 100; Туслугдост - 20; Суслугдост - 5; Пдостуд - 67; Чинв - 2; Удост - 3; К4 - 86,6; Пперв.конт уд - 87;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- 41; Показ.услугуд - 87; Уоказ.услуг - 41; Пвежл.дистуд - 85; Увежл.дист - 40; К5 - 87; Преком - 87; Уреком - 41; Уорг.усл - 41; Порг.услуд - 87; Ууд - 41; Пуд - 87; Ууд - 41; Пуд - 87.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нет.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урсах, к которым обеспечивается доступ обучающихся: - да; 39. Информация о наличии и условиях предоставления обучающимся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Д/с № 24 "Красная Шапочка"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- 87,28; Численность обучающихся - 185; Чобщ - 121; Доля респондентов - 0,65; К1 - 92,8; Пинф - 100; Инорм - 55; Инорм - 16; Истенд - 16; Исайт - 55; Пдист - 100; Тдист - 30; Сдист - 4; Поткруд - 82; Устенд - 104; - 94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К2 - 91; Пкомф.усл - 100; Ткомф - 20; Скомф - 5; Укомф - 99; Пкомфуд - 82; К3 - 78,1; Поргдост - 60; Торгдост - 20; Соргдост - 3; Пуслугдост - 100; Туслугдост - 20; Суслугдост - 5; Пдостуд - 67; Чинв - 2; Удост - 3; К4 - 85,8; Пперв.конт уд - 90;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- 109; Показ.услугуд - 92; Уоказ.услуг - 111; Пвежл.дистуд - 65; Увежл.дист - 79; К5 - 88,7; Преком - 87; Уреком - 105; Уорг.усл - 107; Порг.услуд - 88; Ууд - 109; Пуд - 90; Ууд - 109; Пуд - 90.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нет.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Д/с № 25 "Зайчик"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- 84,5; Численность обучающихся - 165; Чобщ - 61; Доля респондентов - 0,37; К1 - 89,6; Пинф - 100; Инорм - 55; Инорм - 16; Истенд - 16; Исайт - 55; Пдист - 100; Тдист - 30; Сдист - 4; Поткруд - 74; Устенд - 45; - 45;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2 - 87; Пкомф.усл - 100; Ткомф - 20; Скомф - 5; Укомф - 45; Пкомфуд - 74; К3 - 78,1; Поргдост - 60; Торгдост - 20; Соргдост - 3; Пуслугдост - 100; Туслугдост - 20; Суслугдост - 5; Пдостуд - 67; Чинв - 2; Удост - 3; К4 - 82,8; Пперв.конт уд - 85;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- 52; Показ.услугуд - 85; Уоказ.услуг - 52; Пвежл.дистуд - 74; Увежл.дист - 45; К5 - 85; Преком - 85; Уреком - 52; Уорг.усл - 52; Порг.услуд - 85; Ууд - 52; Пуд - 85; Ууд - 52; Пуд - 85.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нет.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Д/с № 32 "Айболит"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- 86,6; Численность обучающихся - 134; Чобщ - 63; Доля респондентов - 0,47; К1 - 90; Пинф - 100; Инорм - 55; Инорм - 16; Истенд - 16; Исайт - 55; Пдист - 100; Тдист - 30; Сдист - 4; Поткруд - 75; Устенд - 50; - 45;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92; Пкомф.усл - 100; Ткомф - 20; Скомф - 5; Укомф - 53; Пкомфуд - 84; К3 - 88; Поргдост - 60; Торгдост - 20; Соргдост - 3; Пуслугдост - 100; Туслугдост - 20; Суслугдост - 6; Пдостуд - 100; Чинв - 2; Удост - 2; К4 - 81; Пперв.конт уд - 86; Уперв.конт - 54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Показ.услугуд - 84; Уоказ.услуг - 53; Пвежл.дистуд - 65; Увежл.дист - 41; К5 - 82; Преком - 82; Уреком - 52; Уорг.усл - 52; Порг.услуд - 82; Ууд - 52; Пуд - 82; Ууд - 52; Пуд - 82.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общежитии, интернате, приспособленных для использования инвалидами и лицами с ОВЗ (при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"СОШ №2"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- 77,1; Численность обучающихся - 368; Чобщ - 340; Доля респондентов - 0,92; К1 - 70,4; Пинф - 100; Инорм - 55; Инорм - 16; Истенд - 16; Исайт - 55; Пдист - 100; Тдист - 30; Сдист - 4; Поткруд - 26; Устенд - 85; - 90;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К2 - 63; Пкомф.усл - 100; Ткомф - 20; Скомф - 5; Укомф - 89; Пкомфуд - 26; К3 - 78,8; Поргдост - 80; Торгдост - 20; Соргдост - 4; Пуслугдост - 80; Туслугдост - 20; Суслугдост - 4; Пдостуд - 76; Чинв - 13; Удост - 17; К4 - 86,2; Пперв.конт уд - 89;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- 304; Показ.услугуд - 89; Уоказ.услуг - 304; Пвежл.дистуд - 75; Увежл.дист - 256; К5 - 87,1; Преком - 85; Уреком - 290; Уорг.усл - 298; Порг.услуд - 88; Ууд - 301; Пуд - 88; Ууд - 301; Пуд - 88.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ях питания обучающихся (при наличии)* - да; 36. Информация об условиях охраны здоровья обучающихся: - да; 37. Информация о доступе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"СОШ № 5"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- 86,22; Численность обучающихся - 787; Чобщ - 120; Доля респондентов - 0,15; К1 - 86; Пинф - 100; Инорм - 55; Инорм - 16; Истенд - 16; Исайт - 55; Пдист - 100; Тдист - 30; Сдист - 4; Поткруд - 65; Устенд - 79; - 77;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2 - 83,5; Пкомф.усл - 100; Ткомф - 20; Скомф - 5; Укомф - 80; Пкомфуд - 67; К3 - 82; Поргдост - 40; Торгдост - 20; Соргдост - 2; Пуслугдост - 100; Туслугдост - 20; Суслугдост - 5; Пдостуд - 100; Чинв - 5; Удост - 5; К4 - 88,8; Пперв.конт уд - 90;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- 108; Показ.услугуд - 91; Уоказ.услуг - 109; Пвежл.дистуд - 82; Увежл.дист - 99; К5 - 90,8; Преком - 91; Уреком - 109; Уорг.усл - 108; Порг.услуд - 90; Ууд - 109; Пуд - 91; Ууд - 109; Пуд - 91.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льства о государственной аккредитации (с приложениями): - да; 11. План финансово-хозяйственной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РАЗМЕЩЕННОЙ НА СТЕНДЕ ИНФОРМАЦИИ: недостатки не выявлены.</w:t>
            </w:r>
          </w:p>
        </w:tc>
      </w:tr>
    </w:tbl>
    <w:p w:rsidR="008D48F2" w:rsidRDefault="00AB5D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"СОШ № 7 имени Пичуева Л.П."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- 81,14; Численность обучающихся - 624; Чобщ - 251; Доля респондентов - 0,4; К1 - 88,4; Пинф - 100; Инорм - 55; Инорм - 16; Истенд - 16; Исайт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Пдист - 100; Тдист - 30; Сдист - 4; Поткруд - 71; Устенд - 180; - 175; К2 - 84,5; Пкомф.усл - 100; Ткомф - 20; Скомф - 5; Укомф - 173; Пкомфуд - 69; К3 - 69,1; Поргдост - 40; Торгдост - 20; Соргдост - 2; Пуслугдост - 100; Туслугдост - 20; Суслугдост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Пдостуд - 57; Чинв - 4; Удост - 7; К4 - 83,4; Пперв.конт уд - 90; Уперв.конт - 225; Показ.услугуд - 87; Уоказ.услуг - 219; Пвежл.дистуд - 63; Увежл.дист - 158; К5 - 80,3; Преком - 76; Уреком - 191; Уорг.усл - 201; Порг.услуд - 80; Ууд - 209; Пуд - 83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Ууд - 209; Пуд - 83.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"СОШ № 13 им. М.К.Янгеля"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- 90,88; Численность обучающихся - 743; Чобщ - 127; Доля респондентов - 0,17; К1 - 95,2; Пинф - 100; Инорм - 55; Инорм - 16; Истенд - 16; Исайт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55; Пдист - 100; Тдист - 30; Сдист - 4; Поткруд - 88; Устенд - 109; - 114; К2 - 92,5; Пкомф.усл - 100; Ткомф - 20; Скомф - 5; Укомф - 108; Пкомфуд - 85; К3 - 82; Поргдост - 40; Торгдост - 20; Соргдост - 2; Пуслугдост - 100; Туслугдост - 20; Суслугдост - 5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Пдостуд - 100; Чинв - 3; Удост - 3; К4 - 91,2; Пперв.конт уд - 92; Уперв.конт - 117; Показ.услугуд - 93; Уоказ.услуг - 118; Пвежл.дистуд - 86; Увежл.дист - 109; К5 - 93,5; Преком - 94; Уреком - 120; Уорг.усл - 119; Порг.услуд - 94; Ууд - 118; Пуд - 93;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 - 118; Пуд - 93.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а; 46. Информация о материально-техническом обеспечении образовательной деятельности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"Городская Гимназия № 1"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- 90; Численность обучающихся - 516; Чобщ - 303; Доля респондентов - 0,59; К1 - 94; Пинф - 100; Инорм - 55; Инорм - 16; Истенд - 16; Исайт - 55;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 - 100; Тдист - 30; Сдист - 4; Поткруд - 85; Устенд - 246; - 271; К2 - 95,5; Пкомф.усл - 100; Ткомф - 20; Скомф - 5; Укомф - 275; Пкомфуд - 91; К3 - 79,3; Поргдост - 60; Торгдост - 20; Соргдост - 3; Пуслугдост - 100; Туслугдост - 20; Суслугдост - 5; Пд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остуд - 71; Чинв - 5; Удост - 7; К4 - 89; Пперв.конт уд - 92; Уперв.конт - 278; Показ.услугуд - 93; Уоказ.услуг - 281; Пвежл.дистуд - 75; Увежл.дист - 226; К5 - 92,2; Преком - 91; Уреком - 277; Уорг.усл - 278; Порг.услуд - 92; Ууд - 281; Пуд - 93; Ууд - 28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1; Пуд - 93. Сокращения и пояснения приведены на странице 2.</w:t>
            </w:r>
          </w:p>
        </w:tc>
      </w:tr>
    </w:tbl>
    <w:p w:rsidR="008D48F2" w:rsidRDefault="008D48F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зации: - да;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бразовательных программ с приложением их копий: - да; 22.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26.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урсах, к которым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нате для иногородних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 РАЗМЕЩЕННОЙ НА СТЕНДЕ ИНФОРМАЦИИ: недостатки не выявлены.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D48F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8F2" w:rsidRDefault="00AB5D9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наравне с другими: дублирование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D48F2" w:rsidRDefault="008D48F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D48F2" w:rsidSect="008D48F2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97" w:rsidRDefault="00AB5D97" w:rsidP="008D48F2">
      <w:pPr>
        <w:spacing w:line="240" w:lineRule="auto"/>
      </w:pPr>
      <w:r>
        <w:separator/>
      </w:r>
    </w:p>
  </w:endnote>
  <w:endnote w:type="continuationSeparator" w:id="0">
    <w:p w:rsidR="00AB5D97" w:rsidRDefault="00AB5D97" w:rsidP="008D4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2" w:rsidRDefault="008D48F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D48F2" w:rsidRDefault="008D48F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D48F2" w:rsidRDefault="008D48F2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97" w:rsidRDefault="00AB5D97" w:rsidP="008D48F2">
      <w:pPr>
        <w:spacing w:line="240" w:lineRule="auto"/>
      </w:pPr>
      <w:r>
        <w:separator/>
      </w:r>
    </w:p>
  </w:footnote>
  <w:footnote w:type="continuationSeparator" w:id="0">
    <w:p w:rsidR="00AB5D97" w:rsidRDefault="00AB5D97" w:rsidP="008D48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2" w:rsidRDefault="00AB5D97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8D48F2" w:rsidRDefault="008D48F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2D4"/>
    <w:multiLevelType w:val="multilevel"/>
    <w:tmpl w:val="FDF2D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F2"/>
    <w:rsid w:val="00053D94"/>
    <w:rsid w:val="008D48F2"/>
    <w:rsid w:val="00AB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48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D48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D48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D48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D48F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D48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48F2"/>
  </w:style>
  <w:style w:type="table" w:customStyle="1" w:styleId="TableNormal">
    <w:name w:val="Table Normal"/>
    <w:rsid w:val="008D4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48F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D48F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D4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05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05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23134</Words>
  <Characters>131866</Characters>
  <Application>Microsoft Office Word</Application>
  <DocSecurity>0</DocSecurity>
  <Lines>1098</Lines>
  <Paragraphs>309</Paragraphs>
  <ScaleCrop>false</ScaleCrop>
  <Company/>
  <LinksUpToDate>false</LinksUpToDate>
  <CharactersWithSpaces>154691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Пользователь Windows</cp:lastModifiedBy>
  <cp:revision>2</cp:revision>
  <dcterms:created xsi:type="dcterms:W3CDTF">2023-10-18T07:17:00Z</dcterms:created>
  <dcterms:modified xsi:type="dcterms:W3CDTF">2023-10-18T07:17:00Z</dcterms:modified>
</cp:coreProperties>
</file>